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SturNet recognised with an Honourable Mention at the Black Sea Project Awards 2026</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Contribution from the SturNet consortium (BSB00172) for the Danube Sturgeon Task Force newsletter · October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i w:val="1"/>
          <w:iCs w:val="1"/>
        </w:rPr>
      </w:pPr>
      <w:r w:rsidDel="00000000" w:rsidR="00000000" w:rsidRPr="00000000">
        <w:rPr>
          <w:rtl w:val="0"/>
        </w:rPr>
      </w:r>
    </w:p>
    <w:p w:rsidR="00000000" w:rsidDel="00000000" w:rsidP="00000000" w:rsidRDefault="00000000" w:rsidRPr="00000000" w14:paraId="00000004">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SturNet recognised with an Honourable Mention at the Black Sea Project Awards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The Interreg NEXT Black Sea Basin project for sturgeon preservation was distinguished at the Common Maritime Agenda Stakeholder Conference in Burgas on 30 September 2026.</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SturNet consortium is proud to share that its project — “Network for the Preservation of Sturgeon and for the Sustainability of the Black Sea Basin Ecosystem” (BSB00172) — received an Honourable Mention in the third edition of the Black Sea Project Awards, announced during the Common Maritime Agenda (CMA) for the Black Sea Stakeholder Conference 2026. The award ceremony took place on 30 September 2026 in Burgas, Bulgaria, at a conference convened by the European Commission through the Black Sea Assistance Mechanism (CINEA / DG MARE), bringing together projects, institutions and stakeholders from across the wider Black Sea region.</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Black Sea Project Awards recognise initiatives that deliver innovative and impactful solutions for the region — from protecting marine and coastal ecosystems to building a competitive and sustainable blue economy — across Bulgaria, Georgia, the Republic of Moldova, Romania, Türkiye and Ukraine. The recognition reflects SturNet’s contribution to healthy marine and coastal ecosystems, the first of the CMA’s three strategic goals. Members of the consortium also took part in the conference programme, contributing to the “Waves of Change” session dedicated to resilience and innovation in the region’s blue economy.</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 the Danube Sturgeon Task Force community, the recognition carries a shared significance. The sturgeons of the Black Sea and those of the Danube are one and the same populations: anadromous species that feed and mature in the sea and migrate into the river to spawn. SturNet addresses the marine side of that life cycle — the feeding, resting and gathering grounds in the Black Sea Basin — and so complements the river-focused conservation work coordinated under the DSTF. Over the past century the number of sturgeons in the basin’s major systems has declined by roughly 70%, making coordinated, basin-wide action more urgent than ever.</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Launched in August 2024 and running until February 2027, SturNet unites six partners from across the Black Sea Basin: the Protection of Biodiversity in Bulgaria Foundation (lead partner, Bulgaria), the National Institute for Research and Development on Marine Geology and Geoecology – GeoEcoMar (Romania), the Institute of Market Problems and Economic-Ecological Research of the National Academy of Sciences of Ukraine, Gebze Technical University (Türkiye), the Ecological Counselling Centre Cahul (Moldova) and the Aristotle University of Thessaloniki (Greece). With a total budget of EUR 1,148,409.60, co-financed at 90% by the European Union, the project combines environmental DNA (eDNA) and water-quality monitoring with the development of a free and open digital mapping tool — available as a mobile application and web portal — that identifies seasonal sturgeon “hotspots” of reproduction, resting and aggregation. These data are intended to inform national authorities, researchers and fishing communities, and to underpin the transnational “SturNet” network for coordinated conservation and policy dialogue across the basin.</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consortium thanks the Common Maritime Agenda, the Black Sea Assistance Mechanism and the Interreg NEXT Black Sea Basin Programme for the recognition, and looks forward to continued cooperation with partners across the region — including the Danube Sturgeon Task Force — in the shared mission to bring these ancient fish back from the brink.</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About SturNet.</w:t>
      </w:r>
      <w:r w:rsidDel="00000000" w:rsidR="00000000" w:rsidRPr="00000000">
        <w:rPr>
          <w:rtl w:val="0"/>
        </w:rPr>
        <w:t xml:space="preserve"> “Network for the Preservation of Sturgeon and for the Sustainability of the Black Sea Basin Ecosystem” (BSB00172) is co-funded by the European Union through the Interreg NEXT Black Sea Basin 2021–2027 Programme. Learn more at sturnet.eu.</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rPr/>
      </w:pPr>
      <w:r w:rsidDel="00000000" w:rsidR="00000000" w:rsidRPr="00000000">
        <w:rPr>
          <w:i w:val="1"/>
          <w:iCs w:val="1"/>
          <w:rtl w:val="0"/>
        </w:rPr>
        <w:t xml:space="preserve">Contact:</w:t>
      </w:r>
      <w:r w:rsidDel="00000000" w:rsidR="00000000" w:rsidRPr="00000000">
        <w:rPr>
          <w:rtl w:val="0"/>
        </w:rPr>
        <w:t xml:space="preserve"> Georgi Kostadinov, Project coordinator, Protection of Biodiversity in Bulgaria Foundation — </w:t>
      </w:r>
      <w:hyperlink r:id="rId6">
        <w:r w:rsidDel="00000000" w:rsidR="00000000" w:rsidRPr="00000000">
          <w:rPr>
            <w:color w:val="1155cc"/>
            <w:u w:val="single"/>
            <w:rtl w:val="0"/>
          </w:rPr>
          <w:t xml:space="preserve">info@biodiversity.foundation</w:t>
        </w:r>
      </w:hyperlink>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5943600" cy="3962400"/>
            <wp:effectExtent b="0" l="0" r="0" t="0"/>
            <wp:docPr id="3"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5943600" cy="4356100"/>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5943600" cy="43561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drawing>
          <wp:inline distB="114300" distT="114300" distL="114300" distR="114300">
            <wp:extent cx="5943600" cy="3962400"/>
            <wp:effectExtent b="0" l="0" r="0" t="0"/>
            <wp:docPr id="1"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hyperlink" Target="mailto:info@biodiversity.foundation" TargetMode="External"/><Relationship Id="rId7" Type="http://schemas.openxmlformats.org/officeDocument/2006/relationships/image" Target="media/image3.jp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